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Магазин, торговый центр, гипермаркет</w:t>
      </w:r>
    </w:p>
    <w:p>
      <w:r>
        <w:rPr>
          <w:b/>
        </w:rPr>
        <w:t xml:space="preserve">Основание: ПП РФ № 1273 (ред. ПП № 229 от 04.03.2026).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магазин, торговый центр, гипермаркет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Включён ли объект в перечень торговых объектов субъекта РФ (дата уведомления)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Дата присвоения категории / утверждения действующего паспорта — до или после 13.03.2026 (от этого зависит, нужна ли актуализация)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организатор антитеррористической защищённости: собственник / управляющая компания / арендатор (закреплено письменно?)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Площадь торгового зала и всего объекта, м²; число арендаторов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Максимальная посещаемость одновременно (по счётчикам посетителей, если есть)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Парковка: наземная/подземная, число мест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 здании фудкорт, кинотеатр, развлекательная зона, фитнес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